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Решение для обслуживания бассейнов</w:t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tbl>
      <w:tblPr>
        <w:tblStyle w:val="ae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ru-RU" w:eastAsia="en-US" w:bidi="ar-SA"/>
              </w:rPr>
              <w:t>проблема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ru-RU" w:eastAsia="en-US" w:bidi="ar-SA"/>
              </w:rPr>
              <w:t>Возможная причина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ru-RU" w:eastAsia="en-US" w:bidi="ar-SA"/>
              </w:rPr>
              <w:t xml:space="preserve">Решение </w:t>
            </w:r>
          </w:p>
        </w:tc>
      </w:tr>
      <w:tr>
        <w:trPr>
          <w:trHeight w:val="1288" w:hRule="atLeast"/>
        </w:trPr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Вода прозрачная с зеленоватым оттенком. 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Наличие в воде железа (желто-зеленый цвет воды) или меди (бирюзовый цвет воды).</w:t>
            </w:r>
          </w:p>
        </w:tc>
        <w:tc>
          <w:tcPr>
            <w:tcW w:w="3115" w:type="dxa"/>
            <w:vMerge w:val="restart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- Отрегулировать значение </w:t>
            </w: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t>pH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; 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- Произвести ударное хлорирование средством «Астрадез Таб-Б»;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- Добавить «Астрадез коагулянт», согласно инструкции для случая высокой мутности.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Коричневые пятна можно удалить «Астрадез Пул-2» (предварительно опорожнив бассейн).</w:t>
            </w:r>
          </w:p>
        </w:tc>
      </w:tr>
      <w:tr>
        <w:trPr>
          <w:trHeight w:val="1288" w:hRule="atLeast"/>
        </w:trPr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Коричневые пятна на дне и стенках бассейна.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Отложения содержащихся в воде меди или железа.</w:t>
            </w:r>
          </w:p>
        </w:tc>
        <w:tc>
          <w:tcPr>
            <w:tcW w:w="3115" w:type="dxa"/>
            <w:vMerge w:val="continue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</w:r>
          </w:p>
        </w:tc>
      </w:tr>
      <w:tr>
        <w:trPr>
          <w:trHeight w:val="1288" w:hRule="atLeast"/>
        </w:trPr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Вода мутная коричневого цвета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В воде бассейна содержится железо. </w:t>
            </w:r>
          </w:p>
        </w:tc>
        <w:tc>
          <w:tcPr>
            <w:tcW w:w="311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</w:r>
          </w:p>
        </w:tc>
      </w:tr>
      <w:tr>
        <w:trPr>
          <w:trHeight w:val="1288" w:hRule="atLeast"/>
        </w:trPr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Вода мутная черного цвета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В воде бассейна содержится марганец.</w:t>
            </w:r>
          </w:p>
        </w:tc>
        <w:tc>
          <w:tcPr>
            <w:tcW w:w="311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11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Вода мутная молочного цвета 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Наличие взвесей коллоидных частиц (загрязнений) органического происхождения.</w:t>
            </w:r>
          </w:p>
        </w:tc>
        <w:tc>
          <w:tcPr>
            <w:tcW w:w="3115" w:type="dxa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- Отрегулировать значение </w:t>
            </w: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t>pH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; 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- Произвести ударное хлорирование средством «Астрадез Таб-Б»;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- Добавить «Астрадез коагулянт», согласно инструкции для случая высокой мутности.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11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Наличие нерастворимых солей жесткости или незадержанного коагулянта.</w:t>
            </w:r>
          </w:p>
        </w:tc>
        <w:tc>
          <w:tcPr>
            <w:tcW w:w="3115" w:type="dxa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Отрегулировать значение </w:t>
            </w: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t>pH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;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Произвести коагуляцию примесей  воды препаратом «Астрадез Коагулянт», согласно инструкции.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Слизистые отложения на стенках бассейна. Вода мутная, зеленого цвета.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Рост водорослей.</w:t>
            </w:r>
          </w:p>
        </w:tc>
        <w:tc>
          <w:tcPr>
            <w:tcW w:w="3115" w:type="dxa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- Отрегулировать значение pH;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- Произвести ударное хлорирование средством «Астрадез Таб-Б»;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- Добавить «Астрадез коагулянт», согласно инструкции для случая высокой мутности;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- Добавить «Астрадез Альгицид».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Стенки бассейна стали шероховатыми.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Отложение солей жесткости кальция и магния (известковые отложения).</w:t>
            </w:r>
          </w:p>
        </w:tc>
        <w:tc>
          <w:tcPr>
            <w:tcW w:w="3115" w:type="dxa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- Слить воду из бассейна; 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- Удалить отложения, применяя средства «Астрадез Пул-2».</w:t>
            </w:r>
          </w:p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Значения </w:t>
            </w: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t>pH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 должно быть в диапазоне 7,2 – 7,4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Сильный запах хлорки, но тестер не определяет наличие свободного хлора; наблюдается рост водорослей; иногда после добавления химикатов вода мутнее и приобретает молочно-белый оттенок, который пропадает через некоторое время.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В воде избыток стабилизатора хлора (циануровой кислоты), который не дает хлору работать.</w:t>
            </w:r>
          </w:p>
        </w:tc>
        <w:tc>
          <w:tcPr>
            <w:tcW w:w="3115" w:type="dxa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Заменить часть воды бассейна. Для предотвращения подобных проблем в дальнейшем обязательно еженедельно пополнять бассейн свежей водой в количестве 3-5% от его объема.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Запах хлорки, вода раздражает глаза.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В воде избыток связанного хлора (хлораминов), но недостаток свободного.</w:t>
            </w:r>
          </w:p>
        </w:tc>
        <w:tc>
          <w:tcPr>
            <w:tcW w:w="3115" w:type="dxa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Измерить концентрации свободного и связанного хлора, а также стабилизатора хлора – циануровой кислоты. Если концентрация стабилизатора в норме, а количество количество связанного хлора значительно превышает количество свободного, то следует отрегулировать значение </w:t>
            </w: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t>pH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, затем произвести ударное хлорирование средством «Астрадез Таб-Б».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В бассейнах с искусственным течением сильное вспенивание воды.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Сильно пенящийся альгицид или наличие в воде остатков зимнего консерванта или чистящего средства.</w:t>
            </w:r>
          </w:p>
        </w:tc>
        <w:tc>
          <w:tcPr>
            <w:tcW w:w="3115" w:type="dxa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Увеличить количество добавляемой свежей воды. Не применять бытовые чистящие средства.</w:t>
            </w:r>
          </w:p>
        </w:tc>
      </w:tr>
      <w:tr>
        <w:trPr/>
        <w:tc>
          <w:tcPr>
            <w:tcW w:w="311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Коррозия металлических деталей бассейна. 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Слишком низкое значение pH.</w:t>
            </w:r>
          </w:p>
        </w:tc>
        <w:tc>
          <w:tcPr>
            <w:tcW w:w="3115" w:type="dxa"/>
            <w:tcBorders/>
          </w:tcPr>
          <w:p>
            <w:pPr>
              <w:pStyle w:val="ListParagraph"/>
              <w:widowControl/>
              <w:spacing w:before="0" w:after="0"/>
              <w:ind w:left="35" w:hanging="0"/>
              <w:contextualSpacing/>
              <w:jc w:val="left"/>
              <w:rPr>
                <w:rFonts w:eastAsia="Calibri" w:cs=""/>
                <w:kern w:val="0"/>
                <w:szCs w:val="22"/>
                <w:lang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 xml:space="preserve">Повысить значение </w:t>
            </w: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t xml:space="preserve">pH </w:t>
            </w: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t>до 7,2 - 7,4.</w:t>
            </w:r>
          </w:p>
        </w:tc>
      </w:tr>
    </w:tbl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both"/>
        <w:rPr/>
      </w:pPr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573511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573511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573511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573511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E74B5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573511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573511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573511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573511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573511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57351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57351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573511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573511"/>
    <w:rPr>
      <w:rFonts w:eastAsia="" w:cs="" w:cstheme="majorBidi" w:eastAsiaTheme="majorEastAsia"/>
      <w:i/>
      <w:iCs/>
      <w:color w:val="2E74B5" w:themeColor="accent1" w:themeShade="bf"/>
      <w:sz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573511"/>
    <w:rPr>
      <w:rFonts w:eastAsia="" w:cs="" w:cstheme="majorBidi" w:eastAsiaTheme="majorEastAsia"/>
      <w:color w:val="2E74B5" w:themeColor="accent1" w:themeShade="bf"/>
      <w:sz w:val="28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573511"/>
    <w:rPr>
      <w:rFonts w:eastAsia="" w:cs="" w:cstheme="majorBidi" w:eastAsiaTheme="majorEastAsia"/>
      <w:i/>
      <w:iCs/>
      <w:color w:val="595959" w:themeColor="text1" w:themeTint="a6"/>
      <w:sz w:val="28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573511"/>
    <w:rPr>
      <w:rFonts w:eastAsia="" w:cs="" w:cstheme="majorBidi" w:eastAsiaTheme="majorEastAsia"/>
      <w:color w:val="595959" w:themeColor="text1" w:themeTint="a6"/>
      <w:sz w:val="28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573511"/>
    <w:rPr>
      <w:rFonts w:eastAsia="" w:cs="" w:cstheme="majorBidi" w:eastAsiaTheme="majorEastAsia"/>
      <w:i/>
      <w:iCs/>
      <w:color w:val="272727" w:themeColor="text1" w:themeTint="d8"/>
      <w:sz w:val="2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573511"/>
    <w:rPr>
      <w:rFonts w:eastAsia="" w:cs="" w:cstheme="majorBidi" w:eastAsiaTheme="majorEastAsia"/>
      <w:color w:val="272727" w:themeColor="text1" w:themeTint="d8"/>
      <w:sz w:val="28"/>
    </w:rPr>
  </w:style>
  <w:style w:type="character" w:styleId="Style5" w:customStyle="1">
    <w:name w:val="Заголовок Знак"/>
    <w:basedOn w:val="DefaultParagraphFont"/>
    <w:uiPriority w:val="10"/>
    <w:qFormat/>
    <w:rsid w:val="0057351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57351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573511"/>
    <w:rPr>
      <w:rFonts w:ascii="Times New Roman" w:hAnsi="Times New Roman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573511"/>
    <w:rPr>
      <w:i/>
      <w:iCs/>
      <w:color w:val="2E74B5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7351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73511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DefaultParagraphFont"/>
    <w:uiPriority w:val="99"/>
    <w:unhideWhenUsed/>
    <w:rsid w:val="00573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73511"/>
    <w:rPr>
      <w:color w:val="605E5C"/>
      <w:shd w:fill="E1DFDD" w:val="clear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Style13">
    <w:name w:val="Title"/>
    <w:basedOn w:val="Normal"/>
    <w:next w:val="Normal"/>
    <w:link w:val="Style5"/>
    <w:uiPriority w:val="10"/>
    <w:qFormat/>
    <w:rsid w:val="00573511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573511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57351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51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573511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f864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LibreOffice/7.5.5.2$Windows_X86_64 LibreOffice_project/ca8fe7424262805f223b9a2334bc7181abbcbf5e</Application>
  <AppVersion>15.0000</AppVersion>
  <Pages>3</Pages>
  <Words>366</Words>
  <Characters>2567</Characters>
  <CharactersWithSpaces>2898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2026-01-14T13:17:00Z</dcterms:created>
  <dc:creator>Ольга Свиридова</dc:creator>
  <dc:description/>
  <dc:language>ru-RU</dc:language>
  <cp:lastModifiedBy/>
  <dcterms:modified xsi:type="dcterms:W3CDTF">2026-01-15T15:31:56Z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